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996C60" w:rsidR="0064343E" w:rsidRPr="009547C7" w:rsidRDefault="00251D81" w:rsidP="0064343E">
      <w:pPr>
        <w:pStyle w:val="Datumoben"/>
        <w:spacing w:after="300"/>
        <w:rPr>
          <w:rStyle w:val="Formatvorlage14"/>
          <w:sz w:val="20"/>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Pr>
          <w:noProof/>
        </w:rPr>
        <w:t>Febbraio 2026</w:t>
      </w:r>
    </w:p>
    <w:p w14:paraId="7AA07FDB" w14:textId="4153BAD7" w:rsidR="0064343E" w:rsidRPr="00EE39DB" w:rsidRDefault="0007568B" w:rsidP="006E29B6">
      <w:pPr>
        <w:pStyle w:val="Datumoben"/>
        <w:spacing w:after="0" w:line="240" w:lineRule="auto"/>
        <w:rPr>
          <w:b/>
          <w:bCs/>
          <w:color w:val="262626" w:themeColor="text1" w:themeTint="D9"/>
          <w:sz w:val="48"/>
          <w:szCs w:val="48"/>
        </w:rPr>
      </w:pPr>
      <w:r>
        <w:rPr>
          <w:b/>
          <w:bCs/>
          <w:color w:val="262626" w:themeColor="text1" w:themeTint="D9"/>
          <w:sz w:val="48"/>
          <w:szCs w:val="48"/>
        </w:rPr>
        <w:t>Asiga Cure 1.5: ora convalidato anche per VITA AKZENT LC</w:t>
      </w:r>
    </w:p>
    <w:p w14:paraId="0DF575D3" w14:textId="77777777" w:rsidR="006E29B6" w:rsidRDefault="006E29B6" w:rsidP="008F4097">
      <w:pPr>
        <w:spacing w:line="240" w:lineRule="auto"/>
        <w:rPr>
          <w:rFonts w:cs="Arial"/>
          <w:sz w:val="24"/>
          <w:szCs w:val="24"/>
        </w:rPr>
      </w:pPr>
    </w:p>
    <w:p w14:paraId="6047FA13" w14:textId="7DF5E7F7" w:rsidR="008F4097" w:rsidRDefault="008F4097" w:rsidP="008F4097">
      <w:pPr>
        <w:spacing w:line="240" w:lineRule="auto"/>
        <w:rPr>
          <w:rFonts w:cs="Arial"/>
          <w:sz w:val="24"/>
          <w:szCs w:val="24"/>
        </w:rPr>
      </w:pPr>
      <w:r>
        <w:rPr>
          <w:rFonts w:cs="Arial"/>
          <w:sz w:val="24"/>
          <w:szCs w:val="24"/>
        </w:rPr>
        <w:t xml:space="preserve">La convalida con esito positivo dei colori di caratterizzazione per compositi VITA AKZENT LC nel nuovo polimerizzatore Asiga Cure 1.5 apre nuove possibilità: oltre alla polimerizzazione dei materiali di stampaggio (come ad esempio VITA VIONIC RESINS) è ora possibile polimerizzare in modo affidabile anche il sistema di supercolori VITA AKZENT LC con lo </w:t>
      </w:r>
      <w:r>
        <w:rPr>
          <w:rFonts w:cs="Arial"/>
          <w:b/>
          <w:bCs/>
          <w:sz w:val="24"/>
          <w:szCs w:val="24"/>
        </w:rPr>
        <w:t>stesso</w:t>
      </w:r>
      <w:r>
        <w:rPr>
          <w:rFonts w:cs="Arial"/>
          <w:sz w:val="24"/>
          <w:szCs w:val="24"/>
        </w:rPr>
        <w:t xml:space="preserve"> dispositivo. </w:t>
      </w:r>
    </w:p>
    <w:p w14:paraId="6A34FBCF" w14:textId="77777777" w:rsidR="006F0372" w:rsidRDefault="006F0372" w:rsidP="008F4097">
      <w:pPr>
        <w:spacing w:line="240" w:lineRule="auto"/>
        <w:rPr>
          <w:rFonts w:cs="Arial"/>
          <w:sz w:val="24"/>
          <w:szCs w:val="24"/>
        </w:rPr>
      </w:pPr>
    </w:p>
    <w:p w14:paraId="34E456EE" w14:textId="77777777" w:rsidR="006F0372" w:rsidRDefault="006F0372" w:rsidP="006F0372">
      <w:pPr>
        <w:spacing w:line="240" w:lineRule="auto"/>
        <w:rPr>
          <w:rFonts w:cs="Arial"/>
          <w:b/>
          <w:bCs/>
          <w:color w:val="DC0064" w:themeColor="accent1"/>
          <w:sz w:val="24"/>
          <w:szCs w:val="24"/>
        </w:rPr>
      </w:pPr>
    </w:p>
    <w:p w14:paraId="58936D3D" w14:textId="77777777"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VITA AKZENT LC - colore e carattere nel workflow digitale</w:t>
      </w:r>
    </w:p>
    <w:p w14:paraId="228892C4" w14:textId="0028AC88" w:rsidR="008F4097" w:rsidRPr="008F4097" w:rsidRDefault="008F4097" w:rsidP="008F4097">
      <w:pPr>
        <w:spacing w:line="240" w:lineRule="auto"/>
        <w:rPr>
          <w:rFonts w:cs="Arial"/>
          <w:sz w:val="24"/>
          <w:szCs w:val="24"/>
        </w:rPr>
      </w:pPr>
      <w:bookmarkStart w:id="1" w:name="_Hlk198108416"/>
      <w:bookmarkEnd w:id="1"/>
    </w:p>
    <w:p w14:paraId="27A78418" w14:textId="77777777" w:rsidR="0007568B" w:rsidRPr="006E29B6" w:rsidRDefault="00265256" w:rsidP="0007568B">
      <w:pPr>
        <w:spacing w:line="240" w:lineRule="auto"/>
        <w:rPr>
          <w:rFonts w:cs="Arial"/>
          <w:sz w:val="24"/>
          <w:szCs w:val="24"/>
        </w:rPr>
      </w:pPr>
      <w:r>
        <w:rPr>
          <w:rFonts w:cs="Arial"/>
          <w:sz w:val="24"/>
          <w:szCs w:val="24"/>
        </w:rPr>
        <w:t xml:space="preserve">VITA AKZENT LC porta colore e carattere nel workflow digitale. </w:t>
      </w:r>
    </w:p>
    <w:p w14:paraId="487B35AC" w14:textId="77777777" w:rsidR="0007568B" w:rsidRPr="006E29B6" w:rsidRDefault="0007568B" w:rsidP="0007568B">
      <w:pPr>
        <w:spacing w:line="240" w:lineRule="auto"/>
        <w:rPr>
          <w:rFonts w:cs="Arial"/>
          <w:sz w:val="24"/>
          <w:szCs w:val="24"/>
        </w:rPr>
      </w:pPr>
      <w:r>
        <w:rPr>
          <w:rFonts w:cs="Arial"/>
          <w:sz w:val="24"/>
          <w:szCs w:val="24"/>
        </w:rPr>
        <w:t>I restauri monolitici in ceramica ibrida, composito o polimero convincono sempre più utilizzatori in quanto alternativa semplice, efficiente ed economica alle riabilitazioni in ceramica integrale.</w:t>
      </w:r>
    </w:p>
    <w:p w14:paraId="22126B4F" w14:textId="11EA0DD5" w:rsidR="0064343E" w:rsidRPr="008F4097" w:rsidRDefault="008F4097" w:rsidP="00265256">
      <w:pPr>
        <w:spacing w:line="240" w:lineRule="auto"/>
        <w:rPr>
          <w:rFonts w:cs="Arial"/>
          <w:sz w:val="24"/>
          <w:szCs w:val="24"/>
        </w:rPr>
      </w:pPr>
      <w:r>
        <w:rPr>
          <w:rFonts w:cs="Arial"/>
          <w:sz w:val="24"/>
          <w:szCs w:val="24"/>
        </w:rPr>
        <w:t>Grazie a 14 colori effetto ricchi di sfumature, VITA AKZENT LC dona a questi restauri un effetto cromatico naturale. Le caratteristiche estetiche migliorate sono vantaggiose in particolare nel caso dei materiali di stampaggio monocromatici. Con quattro masse Chroma per lasura è possibile eseguire, se necessario, adattamenti cromatici all'interno di un gruppo di colori in VITA classical A1–D4 e in VITA SYSTEM 3D-MASTER.</w:t>
      </w:r>
    </w:p>
    <w:p w14:paraId="07F94C35" w14:textId="77777777" w:rsidR="008F4097" w:rsidRPr="008F4097" w:rsidRDefault="008F4097" w:rsidP="008F4097">
      <w:pPr>
        <w:spacing w:line="240" w:lineRule="auto"/>
        <w:rPr>
          <w:rFonts w:cs="Arial"/>
          <w:sz w:val="24"/>
          <w:szCs w:val="24"/>
        </w:rPr>
      </w:pPr>
    </w:p>
    <w:p w14:paraId="6B7FBA50" w14:textId="5B215BAD"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 xml:space="preserve">Chiari parametri per la polimerizzazione in Asiga Cure 1.5: </w:t>
      </w:r>
    </w:p>
    <w:p w14:paraId="60ACA3F0" w14:textId="77777777" w:rsidR="0064343E" w:rsidRPr="008F4097" w:rsidRDefault="0064343E" w:rsidP="008F4097">
      <w:pPr>
        <w:spacing w:line="240" w:lineRule="auto"/>
        <w:rPr>
          <w:rFonts w:cs="Arial"/>
          <w:b/>
          <w:bCs/>
          <w:color w:val="DC0064" w:themeColor="accent1"/>
          <w:sz w:val="24"/>
          <w:szCs w:val="24"/>
        </w:rPr>
      </w:pPr>
    </w:p>
    <w:p w14:paraId="48D45C13" w14:textId="002C0539" w:rsidR="0007568B" w:rsidRDefault="0007568B" w:rsidP="008F4097">
      <w:pPr>
        <w:numPr>
          <w:ilvl w:val="0"/>
          <w:numId w:val="41"/>
        </w:numPr>
        <w:spacing w:line="240" w:lineRule="auto"/>
        <w:rPr>
          <w:rFonts w:cs="Arial"/>
          <w:sz w:val="24"/>
          <w:szCs w:val="24"/>
        </w:rPr>
      </w:pPr>
      <w:r>
        <w:rPr>
          <w:rFonts w:cs="Arial"/>
          <w:sz w:val="24"/>
          <w:szCs w:val="24"/>
        </w:rPr>
        <w:t xml:space="preserve">Modalità: "Time Cure" (20-25 °C) </w:t>
      </w:r>
    </w:p>
    <w:p w14:paraId="03B41050" w14:textId="000B33F1" w:rsidR="008F4097" w:rsidRPr="0007568B" w:rsidRDefault="0007568B" w:rsidP="008F4097">
      <w:pPr>
        <w:numPr>
          <w:ilvl w:val="0"/>
          <w:numId w:val="41"/>
        </w:numPr>
        <w:spacing w:line="240" w:lineRule="auto"/>
        <w:rPr>
          <w:rFonts w:cs="Arial"/>
          <w:sz w:val="24"/>
          <w:szCs w:val="24"/>
        </w:rPr>
      </w:pPr>
      <w:r>
        <w:rPr>
          <w:rFonts w:cs="Arial"/>
          <w:sz w:val="24"/>
          <w:szCs w:val="24"/>
        </w:rPr>
        <w:t>2 minuti senza vuoto</w:t>
      </w:r>
    </w:p>
    <w:p w14:paraId="6292D784" w14:textId="77777777" w:rsidR="008F4097" w:rsidRPr="0007568B" w:rsidRDefault="008F4097" w:rsidP="008F4097">
      <w:pPr>
        <w:spacing w:line="240" w:lineRule="auto"/>
        <w:rPr>
          <w:rFonts w:cs="Arial"/>
          <w:sz w:val="24"/>
          <w:szCs w:val="24"/>
        </w:rPr>
      </w:pPr>
    </w:p>
    <w:p w14:paraId="0BE40C61" w14:textId="7F97FFD9" w:rsidR="005E7241" w:rsidRDefault="00E82931" w:rsidP="00E82931">
      <w:pPr>
        <w:spacing w:line="240" w:lineRule="auto"/>
        <w:rPr>
          <w:rFonts w:cs="Arial"/>
        </w:rPr>
      </w:pPr>
      <w:r>
        <w:rPr>
          <w:rFonts w:cs="Arial"/>
          <w:sz w:val="24"/>
          <w:szCs w:val="24"/>
        </w:rPr>
        <w:t xml:space="preserve">La convalida offre un chiaro valore aggiunto: gli attuali utilizzatori di Asiga Cure 1.5 possono usufruire di un utilizzo ampliato per materiali di stampaggio e colori di caratterizzazione per compositi. Pertanto, aumenta notevolmente la flessibilità nell'utilizzo quotidiano, e senza investimenti aggiuntivi. </w:t>
      </w:r>
    </w:p>
    <w:p w14:paraId="16FBB461" w14:textId="77777777" w:rsidR="002744EA" w:rsidRDefault="002744EA" w:rsidP="002D37C9">
      <w:pPr>
        <w:spacing w:line="240" w:lineRule="auto"/>
        <w:rPr>
          <w:rFonts w:cs="Arial"/>
        </w:rPr>
      </w:pPr>
    </w:p>
    <w:p w14:paraId="36FD438B" w14:textId="77777777" w:rsidR="0064343E" w:rsidRDefault="0064343E" w:rsidP="002D37C9">
      <w:pPr>
        <w:spacing w:line="240" w:lineRule="auto"/>
        <w:rPr>
          <w:rFonts w:cs="Arial"/>
        </w:rPr>
      </w:pPr>
    </w:p>
    <w:p w14:paraId="277FEC03" w14:textId="77777777" w:rsidR="0064343E" w:rsidRDefault="0064343E" w:rsidP="002D37C9">
      <w:pPr>
        <w:spacing w:line="240" w:lineRule="auto"/>
        <w:rPr>
          <w:rFonts w:cs="Arial"/>
        </w:rPr>
      </w:pPr>
    </w:p>
    <w:p w14:paraId="0647EA53" w14:textId="508C797D" w:rsidR="008F4097" w:rsidRPr="008F4097" w:rsidRDefault="008F4097" w:rsidP="008F4097">
      <w:pPr>
        <w:spacing w:line="360" w:lineRule="auto"/>
        <w:rPr>
          <w:rFonts w:cs="Arial"/>
          <w:b/>
          <w:bCs/>
          <w:color w:val="DC0064" w:themeColor="accent1"/>
          <w:sz w:val="24"/>
          <w:szCs w:val="24"/>
        </w:rPr>
      </w:pPr>
      <w:r>
        <w:rPr>
          <w:rFonts w:cs="Arial"/>
          <w:b/>
          <w:bCs/>
          <w:color w:val="DC0064" w:themeColor="accent1"/>
          <w:sz w:val="24"/>
          <w:szCs w:val="24"/>
        </w:rPr>
        <w:t>Maggiori informazioni su VITA AKZENT LC</w:t>
      </w:r>
    </w:p>
    <w:p w14:paraId="0FF52C4D" w14:textId="5DD0DF7F" w:rsidR="008F4097" w:rsidRDefault="008F4097" w:rsidP="008F4097">
      <w:pPr>
        <w:spacing w:after="120" w:line="360" w:lineRule="auto"/>
      </w:pPr>
      <w:r>
        <w:rPr>
          <w:rFonts w:cs="Arial"/>
        </w:rPr>
        <w:t xml:space="preserve">Informazioni e informazioni brevi al riguardo su </w:t>
      </w:r>
      <w:hyperlink r:id="rId11" w:history="1">
        <w:r>
          <w:rPr>
            <w:rStyle w:val="Hyperlink"/>
            <w:rFonts w:cs="Arial"/>
          </w:rPr>
          <w:t>https://www.vita-zahnfabrik.com/akzentlc_hub</w:t>
        </w:r>
      </w:hyperlink>
    </w:p>
    <w:p w14:paraId="4FC77E63" w14:textId="77777777" w:rsidR="006E29B6" w:rsidRDefault="006E29B6" w:rsidP="008F4097">
      <w:pPr>
        <w:spacing w:after="120" w:line="360" w:lineRule="auto"/>
      </w:pPr>
    </w:p>
    <w:p w14:paraId="010C8CC9" w14:textId="77777777" w:rsidR="006E29B6" w:rsidRDefault="006E29B6" w:rsidP="008F4097">
      <w:pPr>
        <w:spacing w:after="120" w:line="360" w:lineRule="auto"/>
      </w:pPr>
    </w:p>
    <w:p w14:paraId="5C137236" w14:textId="1197BFC8" w:rsidR="006E29B6" w:rsidRDefault="00611950" w:rsidP="008F4097">
      <w:pPr>
        <w:spacing w:after="120" w:line="360" w:lineRule="auto"/>
        <w:rPr>
          <w:rStyle w:val="Formatvorlage14"/>
          <w:rFonts w:cs="Arial"/>
          <w:sz w:val="20"/>
        </w:rPr>
      </w:pPr>
      <w:r>
        <w:rPr>
          <w:noProof/>
        </w:rPr>
        <w:drawing>
          <wp:inline distT="0" distB="0" distL="0" distR="0" wp14:anchorId="384752D5" wp14:editId="44191689">
            <wp:extent cx="1943100" cy="1943100"/>
            <wp:effectExtent l="0" t="0" r="0" b="0"/>
            <wp:docPr id="439188089" name="Grafik 20" descr="Ein Bild, das Text, Clipart, Cartoon,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88089" name="Grafik 20" descr="Ein Bild, das Text, Clipart, Cartoon, Grafikdesign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943100" cy="1943100"/>
                    </a:xfrm>
                    <a:prstGeom prst="rect">
                      <a:avLst/>
                    </a:prstGeom>
                    <a:noFill/>
                    <a:ln>
                      <a:noFill/>
                    </a:ln>
                  </pic:spPr>
                </pic:pic>
              </a:graphicData>
            </a:graphic>
          </wp:inline>
        </w:drawing>
      </w:r>
    </w:p>
    <w:p w14:paraId="47D51A2B" w14:textId="311AF337" w:rsidR="002E4E94" w:rsidRPr="002E4E94" w:rsidRDefault="002E4E94" w:rsidP="002E4E94">
      <w:pPr>
        <w:spacing w:line="240" w:lineRule="auto"/>
        <w:rPr>
          <w:color w:val="4D4D4D" w:themeColor="accent3"/>
          <w:sz w:val="18"/>
          <w:szCs w:val="18"/>
        </w:rPr>
      </w:pPr>
      <w:r>
        <w:rPr>
          <w:color w:val="4D4D4D" w:themeColor="accent3"/>
          <w:sz w:val="18"/>
          <w:szCs w:val="18"/>
        </w:rPr>
        <w:t>Fig. 1: Asiga Cure 1.5 ora convalidato anche per VITA AKZENT LC.</w:t>
      </w: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31D34" w14:textId="77777777" w:rsidR="000A57CD" w:rsidRPr="009547C7" w:rsidRDefault="000A57CD" w:rsidP="00604131">
      <w:r w:rsidRPr="009547C7">
        <w:separator/>
      </w:r>
    </w:p>
    <w:p w14:paraId="17C42E55" w14:textId="77777777" w:rsidR="000A57CD" w:rsidRPr="009547C7" w:rsidRDefault="000A57CD" w:rsidP="00604131"/>
  </w:endnote>
  <w:endnote w:type="continuationSeparator" w:id="0">
    <w:p w14:paraId="0C57D2D4" w14:textId="77777777" w:rsidR="000A57CD" w:rsidRPr="009547C7" w:rsidRDefault="000A57CD" w:rsidP="00604131">
      <w:r w:rsidRPr="009547C7">
        <w:continuationSeparator/>
      </w:r>
    </w:p>
    <w:p w14:paraId="203FB9E0" w14:textId="77777777" w:rsidR="000A57CD" w:rsidRPr="009547C7" w:rsidRDefault="000A57CD" w:rsidP="00604131"/>
  </w:endnote>
  <w:endnote w:type="continuationNotice" w:id="1">
    <w:p w14:paraId="42DBB661" w14:textId="77777777" w:rsidR="000A57CD" w:rsidRPr="009547C7" w:rsidRDefault="000A57C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6DB80E" w14:textId="77777777" w:rsidR="000A57CD" w:rsidRPr="009547C7" w:rsidRDefault="000A57CD" w:rsidP="00604131">
      <w:r w:rsidRPr="009547C7">
        <w:separator/>
      </w:r>
    </w:p>
    <w:p w14:paraId="453AA5E9" w14:textId="77777777" w:rsidR="000A57CD" w:rsidRPr="009547C7" w:rsidRDefault="000A57CD" w:rsidP="00604131"/>
  </w:footnote>
  <w:footnote w:type="continuationSeparator" w:id="0">
    <w:p w14:paraId="54C183F8" w14:textId="77777777" w:rsidR="000A57CD" w:rsidRPr="009547C7" w:rsidRDefault="000A57CD" w:rsidP="00604131">
      <w:r w:rsidRPr="009547C7">
        <w:continuationSeparator/>
      </w:r>
    </w:p>
    <w:p w14:paraId="1EF09624" w14:textId="77777777" w:rsidR="000A57CD" w:rsidRPr="009547C7" w:rsidRDefault="000A57CD" w:rsidP="00604131"/>
  </w:footnote>
  <w:footnote w:type="continuationNotice" w:id="1">
    <w:p w14:paraId="74D72C85" w14:textId="77777777" w:rsidR="000A57CD" w:rsidRPr="009547C7" w:rsidRDefault="000A57C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48D"/>
    <w:rsid w:val="000029FE"/>
    <w:rsid w:val="00002A79"/>
    <w:rsid w:val="00003243"/>
    <w:rsid w:val="00003FF6"/>
    <w:rsid w:val="00012232"/>
    <w:rsid w:val="00016883"/>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568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57C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3359"/>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0646"/>
    <w:rsid w:val="00251952"/>
    <w:rsid w:val="00251D81"/>
    <w:rsid w:val="00256813"/>
    <w:rsid w:val="0026245E"/>
    <w:rsid w:val="00263C38"/>
    <w:rsid w:val="00263F8F"/>
    <w:rsid w:val="00265256"/>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2627"/>
    <w:rsid w:val="003345DA"/>
    <w:rsid w:val="00340800"/>
    <w:rsid w:val="003428B5"/>
    <w:rsid w:val="003476E4"/>
    <w:rsid w:val="00351592"/>
    <w:rsid w:val="0035250F"/>
    <w:rsid w:val="00352672"/>
    <w:rsid w:val="00354122"/>
    <w:rsid w:val="003552E8"/>
    <w:rsid w:val="00356543"/>
    <w:rsid w:val="003621DA"/>
    <w:rsid w:val="0036691C"/>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5AC5"/>
    <w:rsid w:val="004A634C"/>
    <w:rsid w:val="004A6EB0"/>
    <w:rsid w:val="004A767C"/>
    <w:rsid w:val="004B23EA"/>
    <w:rsid w:val="004B2772"/>
    <w:rsid w:val="004B3B50"/>
    <w:rsid w:val="004B3EE7"/>
    <w:rsid w:val="004B4219"/>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1950"/>
    <w:rsid w:val="006136B7"/>
    <w:rsid w:val="00614A58"/>
    <w:rsid w:val="0061538D"/>
    <w:rsid w:val="00615490"/>
    <w:rsid w:val="006160CA"/>
    <w:rsid w:val="006164C7"/>
    <w:rsid w:val="00616E3B"/>
    <w:rsid w:val="0061729D"/>
    <w:rsid w:val="006176C5"/>
    <w:rsid w:val="00617CA6"/>
    <w:rsid w:val="006248E9"/>
    <w:rsid w:val="0062599B"/>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4969"/>
    <w:rsid w:val="006C52B1"/>
    <w:rsid w:val="006C5B8C"/>
    <w:rsid w:val="006D05A2"/>
    <w:rsid w:val="006D2F36"/>
    <w:rsid w:val="006D6694"/>
    <w:rsid w:val="006D7F29"/>
    <w:rsid w:val="006E01CF"/>
    <w:rsid w:val="006E29B6"/>
    <w:rsid w:val="006E3308"/>
    <w:rsid w:val="006E45CF"/>
    <w:rsid w:val="006E62FC"/>
    <w:rsid w:val="006E6919"/>
    <w:rsid w:val="006E752F"/>
    <w:rsid w:val="006F0372"/>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67DBB"/>
    <w:rsid w:val="00870E93"/>
    <w:rsid w:val="00872225"/>
    <w:rsid w:val="00872991"/>
    <w:rsid w:val="00874A48"/>
    <w:rsid w:val="00876DA4"/>
    <w:rsid w:val="00877C97"/>
    <w:rsid w:val="00880156"/>
    <w:rsid w:val="00880161"/>
    <w:rsid w:val="00880879"/>
    <w:rsid w:val="00882BC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27729"/>
    <w:rsid w:val="009322BA"/>
    <w:rsid w:val="00933D6E"/>
    <w:rsid w:val="0093683C"/>
    <w:rsid w:val="00936BAB"/>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2C6"/>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3AA4"/>
    <w:rsid w:val="00E350B7"/>
    <w:rsid w:val="00E43249"/>
    <w:rsid w:val="00E433F4"/>
    <w:rsid w:val="00E434D2"/>
    <w:rsid w:val="00E43BD9"/>
    <w:rsid w:val="00E44E63"/>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4A1"/>
    <w:rsid w:val="00ED7C57"/>
    <w:rsid w:val="00EE0A1C"/>
    <w:rsid w:val="00EE0EF6"/>
    <w:rsid w:val="00EE1086"/>
    <w:rsid w:val="00EE39DB"/>
    <w:rsid w:val="00EE5A16"/>
    <w:rsid w:val="00EF0751"/>
    <w:rsid w:val="00EF08EF"/>
    <w:rsid w:val="00EF2386"/>
    <w:rsid w:val="00EF2F56"/>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0FD1"/>
    <w:rsid w:val="00FB1BB3"/>
    <w:rsid w:val="00FB3A17"/>
    <w:rsid w:val="00FB61C9"/>
    <w:rsid w:val="00FB6F45"/>
    <w:rsid w:val="00FC0AFD"/>
    <w:rsid w:val="00FC10F7"/>
    <w:rsid w:val="00FC2124"/>
    <w:rsid w:val="00FC2DC3"/>
    <w:rsid w:val="00FC3484"/>
    <w:rsid w:val="00FC4300"/>
    <w:rsid w:val="00FC4B23"/>
    <w:rsid w:val="00FC5F79"/>
    <w:rsid w:val="00FD0049"/>
    <w:rsid w:val="00FD0D60"/>
    <w:rsid w:val="00FD2F2F"/>
    <w:rsid w:val="00FD55C7"/>
    <w:rsid w:val="00FD61E4"/>
    <w:rsid w:val="00FD68AD"/>
    <w:rsid w:val="00FD7B23"/>
    <w:rsid w:val="00FD7D4C"/>
    <w:rsid w:val="00FE03A0"/>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akzentlc_hub"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259</Words>
  <Characters>1637</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2026-01-27T16:11:00Z</dcterms:created>
  <dcterms:modified xsi:type="dcterms:W3CDTF">2026-03-30T13:19:00Z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